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5BB15A" w14:textId="59C8CDE3" w:rsidR="00000000" w:rsidRPr="00300793" w:rsidRDefault="00B91E18">
      <w:pPr>
        <w:pStyle w:val="Arial11"/>
        <w:jc w:val="center"/>
        <w:rPr>
          <w:rFonts w:asciiTheme="minorHAnsi" w:hAnsiTheme="minorHAnsi" w:cstheme="minorHAnsi"/>
          <w:i/>
          <w:iCs/>
          <w:color w:val="000000" w:themeColor="text1"/>
          <w:sz w:val="32"/>
          <w:szCs w:val="32"/>
          <w:lang w:val="es-ES_tradnl"/>
        </w:rPr>
      </w:pPr>
      <w:r w:rsidRPr="004E3DDA">
        <w:rPr>
          <w:rFonts w:asciiTheme="minorHAnsi" w:hAnsiTheme="minorHAnsi" w:cstheme="minorHAnsi"/>
          <w:b/>
          <w:bCs/>
          <w:color w:val="000080"/>
          <w:sz w:val="36"/>
          <w:szCs w:val="36"/>
          <w:lang w:val="es-ES_tradnl"/>
        </w:rPr>
        <w:t>Preguntas frecuentes</w:t>
      </w:r>
      <w:r w:rsidR="00300793">
        <w:rPr>
          <w:rFonts w:asciiTheme="minorHAnsi" w:hAnsiTheme="minorHAnsi" w:cstheme="minorHAnsi"/>
          <w:b/>
          <w:bCs/>
          <w:color w:val="000080"/>
          <w:sz w:val="36"/>
          <w:szCs w:val="36"/>
          <w:lang w:val="es-ES_tradnl"/>
        </w:rPr>
        <w:br/>
      </w:r>
      <w:r w:rsidR="00300793" w:rsidRPr="00300793">
        <w:rPr>
          <w:rFonts w:asciiTheme="minorHAnsi" w:hAnsiTheme="minorHAnsi" w:cstheme="minorHAnsi"/>
          <w:i/>
          <w:iCs/>
          <w:color w:val="000000" w:themeColor="text1"/>
          <w:sz w:val="32"/>
          <w:szCs w:val="32"/>
          <w:lang w:val="es-ES_tradnl"/>
        </w:rPr>
        <w:t>R.J. Wieland</w:t>
      </w:r>
    </w:p>
    <w:p w14:paraId="7AAF81E3" w14:textId="64547FE6" w:rsidR="00000000" w:rsidRDefault="00B91E18">
      <w:pPr>
        <w:pStyle w:val="Arial11"/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</w:pPr>
    </w:p>
    <w:p w14:paraId="3A16EA82" w14:textId="1E18A241" w:rsidR="00000000" w:rsidRPr="004E3DDA" w:rsidRDefault="00B91E18">
      <w:pPr>
        <w:pStyle w:val="Arial11"/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 xml:space="preserve">¿Debía Cristo </w:t>
      </w:r>
      <w:r w:rsid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ser hecho semejante en todo a los hermanos</w:t>
      </w:r>
      <w:r w:rsid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 xml:space="preserve">, o a los </w:t>
      </w:r>
      <w:r w:rsid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hermanos santos</w:t>
      </w:r>
      <w:r w:rsid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>?</w:t>
      </w:r>
    </w:p>
    <w:p w14:paraId="50519DC2" w14:textId="5D64E88F" w:rsidR="00000000" w:rsidRPr="004E3DDA" w:rsidRDefault="00B91E18">
      <w:pPr>
        <w:pStyle w:val="Arial11"/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Alguien nos escribe sugiriendo que </w:t>
      </w:r>
      <w:proofErr w:type="gramStart"/>
      <w:r w:rsidRPr="004E3DDA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s-ES_tradnl"/>
        </w:rPr>
        <w:t>Hebreos</w:t>
      </w:r>
      <w:proofErr w:type="gramEnd"/>
      <w:r w:rsidRPr="004E3DDA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s-ES_tradnl"/>
        </w:rPr>
        <w:t xml:space="preserve"> 2:17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 no implica que Cristo 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tomó sobre su naturaleza 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sin pecado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 nuestra naturaleza pecaminosa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 (E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llen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 White, </w:t>
      </w:r>
      <w:r w:rsidR="004E3DDA" w:rsidRPr="004E3DDA">
        <w:rPr>
          <w:rFonts w:asciiTheme="minorHAnsi" w:hAnsiTheme="minorHAnsi" w:cstheme="minorHAnsi"/>
          <w:i/>
          <w:iCs/>
          <w:color w:val="000000" w:themeColor="text1"/>
          <w:sz w:val="28"/>
          <w:szCs w:val="28"/>
          <w:lang w:val="es-ES_tradnl"/>
        </w:rPr>
        <w:t>El ministerio médico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, 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238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), sino la naturaleza de los 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hermanos santos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 xml:space="preserve"> de </w:t>
      </w:r>
      <w:r w:rsidRPr="004E3DDA">
        <w:rPr>
          <w:rFonts w:asciiTheme="minorHAnsi" w:hAnsiTheme="minorHAnsi" w:cstheme="minorHAnsi"/>
          <w:b/>
          <w:bCs/>
          <w:color w:val="000000" w:themeColor="text1"/>
          <w:sz w:val="28"/>
          <w:szCs w:val="28"/>
          <w:lang w:val="es-ES_tradnl"/>
        </w:rPr>
        <w:t>Hebreos 3:1</w:t>
      </w:r>
      <w:r w:rsidR="004E3DDA" w:rsidRPr="004E3DDA"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  <w:t>.</w:t>
      </w:r>
    </w:p>
    <w:p w14:paraId="661DEE0C" w14:textId="45F24D57" w:rsidR="00000000" w:rsidRPr="004E3DDA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Cada vez que el Nuevo Testamento describe a Cristo como siendo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hecho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, es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tá presentando su humillación, la forma en la que vino a ser aquello que en sí mismo no era anteriormente: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Venido a ser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de la simiente de David según la carne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Rom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1:3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)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;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Al que no conocía pecado, por nosotros lo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hizo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pecado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2 Cor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5:21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)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;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por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nosotros maldición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Gál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3:13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),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de mujer,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súbdito a la ley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="004E3DDA" w:rsidRPr="00253B89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Gál </w:t>
      </w:r>
      <w:r w:rsidRPr="00253B89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4:4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)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;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semejante a los hombres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Fil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2:7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),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un poco menor que los ángeles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Heb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2:9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). La Biblia no dice que fuese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hecho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santo, ya que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lo era desde siempre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. Cristo 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ólo fue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hecho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aquello que no era antes.</w:t>
      </w:r>
    </w:p>
    <w:p w14:paraId="254222A5" w14:textId="40E3BA49" w:rsidR="00000000" w:rsidRPr="004E3DDA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La gloria de esa verdad está en que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,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al ser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pecado por nosotros, nosotros podemos ser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hechos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justicia de Dios en él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2 Cor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5:21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). El original emplea dos verbos diferentes para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“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hecho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”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. El primero significa qu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e Cristo vino a ser algo que antes no era, y el segundo significa que nosotros venimos a ser hechos algo que, por nosotros mismos, nunca habríamos llegado a ser: justos.</w:t>
      </w:r>
    </w:p>
    <w:p w14:paraId="7537D713" w14:textId="033A9F14" w:rsidR="00000000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La Biblia no enseña jamás que nosotros, </w:t>
      </w:r>
      <w:r w:rsidR="004E3DDA">
        <w:rPr>
          <w:rFonts w:asciiTheme="minorHAnsi" w:hAnsiTheme="minorHAnsi" w:cstheme="minorHAnsi"/>
          <w:sz w:val="28"/>
          <w:szCs w:val="28"/>
          <w:lang w:val="es-ES_tradnl"/>
        </w:rPr>
        <w:t>nacidos con naturaleza pecaminosa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, seamos hechos santos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o justos independientemente de nuestra elección (en ese caso sería imposible que Dios nos salvara incluyendo la cualidad de seres libres con que nos dotó al crearnos). Venimos a ser hechos santos y justos solamente mediante nuestra elección voluntaria, po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r la fe en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el Salvador que fue hecho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lo que somos nosotros, de forma que al morir al pecado (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>Rom</w:t>
      </w:r>
      <w:r w:rsidRPr="004E3DDA">
        <w:rPr>
          <w:rFonts w:asciiTheme="minorHAnsi" w:hAnsiTheme="minorHAnsi" w:cstheme="minorHAnsi"/>
          <w:b/>
          <w:bCs/>
          <w:sz w:val="28"/>
          <w:szCs w:val="28"/>
          <w:lang w:val="es-ES_tradnl"/>
        </w:rPr>
        <w:t xml:space="preserve"> 6:10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), pudiera redimirnos de ser lo que éramos: esclavos del pecado.</w:t>
      </w:r>
    </w:p>
    <w:p w14:paraId="7AF56FAB" w14:textId="5D708F35" w:rsidR="004E3DDA" w:rsidRPr="004E3DDA" w:rsidRDefault="004E3DDA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>
        <w:rPr>
          <w:rFonts w:asciiTheme="minorHAnsi" w:hAnsiTheme="minorHAnsi" w:cstheme="minorHAnsi"/>
          <w:sz w:val="28"/>
          <w:szCs w:val="28"/>
          <w:lang w:val="es-ES_tradnl"/>
        </w:rPr>
        <w:t>[</w:t>
      </w:r>
      <w:r w:rsidRPr="00D77E10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N. del T.</w:t>
      </w:r>
      <w:r>
        <w:rPr>
          <w:rFonts w:asciiTheme="minorHAnsi" w:hAnsiTheme="minorHAnsi" w:cstheme="minorHAnsi"/>
          <w:sz w:val="28"/>
          <w:szCs w:val="28"/>
          <w:lang w:val="es-ES_tradnl"/>
        </w:rPr>
        <w:t xml:space="preserve">: Se debe notar que estamos hablando de la </w:t>
      </w:r>
      <w:r w:rsidRPr="00D3289E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naturaleza</w:t>
      </w:r>
      <w:r>
        <w:rPr>
          <w:rFonts w:asciiTheme="minorHAnsi" w:hAnsiTheme="minorHAnsi" w:cstheme="minorHAnsi"/>
          <w:sz w:val="28"/>
          <w:szCs w:val="28"/>
          <w:lang w:val="es-ES_tradnl"/>
        </w:rPr>
        <w:t xml:space="preserve"> humana</w:t>
      </w:r>
      <w:r w:rsidR="00A27FF1">
        <w:rPr>
          <w:rFonts w:asciiTheme="minorHAnsi" w:hAnsiTheme="minorHAnsi" w:cstheme="minorHAnsi"/>
          <w:sz w:val="28"/>
          <w:szCs w:val="28"/>
          <w:lang w:val="es-ES_tradnl"/>
        </w:rPr>
        <w:t xml:space="preserve"> recibida al nacimiento, que es igual para todos los “hermanos”, sean o no santos (</w:t>
      </w:r>
      <w:r w:rsidR="00D77E10">
        <w:rPr>
          <w:rFonts w:asciiTheme="minorHAnsi" w:hAnsiTheme="minorHAnsi" w:cstheme="minorHAnsi"/>
          <w:sz w:val="28"/>
          <w:szCs w:val="28"/>
          <w:lang w:val="es-ES_tradnl"/>
        </w:rPr>
        <w:t>la santidad</w:t>
      </w:r>
      <w:r w:rsidR="00A27FF1">
        <w:rPr>
          <w:rFonts w:asciiTheme="minorHAnsi" w:hAnsiTheme="minorHAnsi" w:cstheme="minorHAnsi"/>
          <w:sz w:val="28"/>
          <w:szCs w:val="28"/>
          <w:lang w:val="es-ES_tradnl"/>
        </w:rPr>
        <w:t xml:space="preserve"> tiene que ver con el </w:t>
      </w:r>
      <w:r w:rsidR="00A27FF1" w:rsidRPr="00D3289E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carácter</w:t>
      </w:r>
      <w:r w:rsidR="00A27FF1">
        <w:rPr>
          <w:rFonts w:asciiTheme="minorHAnsi" w:hAnsiTheme="minorHAnsi" w:cstheme="minorHAnsi"/>
          <w:sz w:val="28"/>
          <w:szCs w:val="28"/>
          <w:lang w:val="es-ES_tradnl"/>
        </w:rPr>
        <w:t>)].</w:t>
      </w:r>
    </w:p>
    <w:p w14:paraId="742B921B" w14:textId="53824F0F" w:rsidR="00000000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</w:p>
    <w:p w14:paraId="491FCEFC" w14:textId="77777777" w:rsidR="00300793" w:rsidRPr="004E3DDA" w:rsidRDefault="00300793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</w:p>
    <w:p w14:paraId="46911304" w14:textId="5F333D4A" w:rsidR="00000000" w:rsidRPr="004E3DDA" w:rsidRDefault="00B91E18">
      <w:pPr>
        <w:pStyle w:val="Arial11"/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lastRenderedPageBreak/>
        <w:t>¿Qué materiales contienen el mensaje que Waggoner</w:t>
      </w:r>
      <w:r w:rsidRPr="004E3DDA">
        <w:rPr>
          <w:rFonts w:asciiTheme="minorHAnsi" w:hAnsiTheme="minorHAnsi" w:cstheme="minorHAnsi"/>
          <w:b/>
          <w:bCs/>
          <w:color w:val="000080"/>
          <w:sz w:val="28"/>
          <w:szCs w:val="28"/>
          <w:lang w:val="es-ES_tradnl"/>
        </w:rPr>
        <w:t xml:space="preserve"> dio en la Asamblea de la Asociación General de 1888?</w:t>
      </w:r>
    </w:p>
    <w:p w14:paraId="1B3E607A" w14:textId="4771D0BC" w:rsidR="00000000" w:rsidRPr="004E3DDA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El mensaje que Waggoner presentó en la Asamblea de la Asociación General de 1888 está bien representado en una serie de artículos que escribió y publicó en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The Signs of the Times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inmediatamente después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de la Asamblea, el primero de los cuales apareció en el número del 21 de enero de 1889. Dichos artículos fueron posteriormente impresos prácticamente sin variación en forma de libro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-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en 1890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-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bajo el título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‘</w:t>
      </w:r>
      <w:hyperlink r:id="rId6" w:tgtFrame="_blank" w:history="1">
        <w:r w:rsidRPr="00425684">
          <w:rPr>
            <w:rStyle w:val="Hyperlink"/>
            <w:rFonts w:asciiTheme="minorHAnsi" w:hAnsiTheme="minorHAnsi" w:cstheme="minorHAnsi"/>
            <w:i/>
            <w:iCs/>
            <w:color w:val="0000CC"/>
            <w:sz w:val="28"/>
            <w:szCs w:val="28"/>
            <w:u w:val="none"/>
            <w:lang w:val="es-ES_tradnl"/>
          </w:rPr>
          <w:t>Cristo y su justicia</w:t>
        </w:r>
      </w:hyperlink>
      <w:r w:rsidR="00425684">
        <w:rPr>
          <w:rFonts w:asciiTheme="minorHAnsi" w:hAnsiTheme="minorHAnsi" w:cstheme="minorHAnsi"/>
          <w:sz w:val="28"/>
          <w:szCs w:val="28"/>
          <w:lang w:val="es-ES_tradnl"/>
        </w:rPr>
        <w:t>’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. Disponemos también de su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s sermones de la Asociación General de 1891, así como de su libro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‘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El Evangelio en la Creación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’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(1894). También sus artículos presentando 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Romanos versículo a versículo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, en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Signs of the Times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(1895-1896), publicados en castellano como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‘</w:t>
      </w:r>
      <w:hyperlink r:id="rId7" w:tgtFrame="_blank" w:history="1">
        <w:r w:rsidRPr="00425684">
          <w:rPr>
            <w:rStyle w:val="Hyperlink"/>
            <w:rFonts w:asciiTheme="minorHAnsi" w:hAnsiTheme="minorHAnsi" w:cstheme="minorHAnsi"/>
            <w:i/>
            <w:iCs/>
            <w:color w:val="0000CC"/>
            <w:sz w:val="28"/>
            <w:szCs w:val="28"/>
            <w:u w:val="none"/>
            <w:lang w:val="es-ES_tradnl"/>
          </w:rPr>
          <w:t>Carta a los Romanos</w:t>
        </w:r>
      </w:hyperlink>
      <w:r w:rsidR="00425684">
        <w:rPr>
          <w:rFonts w:asciiTheme="minorHAnsi" w:hAnsiTheme="minorHAnsi" w:cstheme="minorHAnsi"/>
          <w:sz w:val="28"/>
          <w:szCs w:val="28"/>
          <w:lang w:val="es-ES_tradnl"/>
        </w:rPr>
        <w:t>’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.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Disponemos de sus artículos en la versión de Inglaterra de </w:t>
      </w:r>
      <w:r w:rsidRPr="004E3DDA">
        <w:rPr>
          <w:rFonts w:asciiTheme="minorHAnsi" w:hAnsiTheme="minorHAnsi" w:cstheme="minorHAnsi"/>
          <w:i/>
          <w:iCs/>
          <w:sz w:val="28"/>
          <w:szCs w:val="28"/>
          <w:lang w:val="es-ES_tradnl"/>
        </w:rPr>
        <w:t>Present Truth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del mismo período.</w:t>
      </w:r>
    </w:p>
    <w:p w14:paraId="4307E370" w14:textId="1961715D" w:rsidR="00000000" w:rsidRPr="004E3DDA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Disponemos además de los </w:t>
      </w:r>
      <w:hyperlink r:id="rId8" w:tgtFrame="_blank" w:history="1">
        <w:r w:rsidRPr="00425684">
          <w:rPr>
            <w:rStyle w:val="Hyperlink"/>
            <w:rFonts w:asciiTheme="minorHAnsi" w:hAnsiTheme="minorHAnsi" w:cstheme="minorHAnsi"/>
            <w:color w:val="0000CC"/>
            <w:sz w:val="28"/>
            <w:szCs w:val="28"/>
            <w:u w:val="none"/>
            <w:lang w:val="es-ES_tradnl"/>
          </w:rPr>
          <w:t>24 sermones de Jones</w:t>
        </w:r>
      </w:hyperlink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en la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a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samblea de la Asociación General de 1893, así como numerosos artículos. Él estuvo en perfecta armonía con la e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nseñanza de Waggoner.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Ellen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White habló consistentemente de dos mensajeros, pero de un solo mensaje. Refiriéndose a ambos, 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>declaró que su mensaje fue la presentación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 xml:space="preserve"> pública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más clara del evangelio que </w:t>
      </w:r>
      <w:r w:rsidR="00425684">
        <w:rPr>
          <w:rFonts w:asciiTheme="minorHAnsi" w:hAnsiTheme="minorHAnsi" w:cstheme="minorHAnsi"/>
          <w:sz w:val="28"/>
          <w:szCs w:val="28"/>
          <w:lang w:val="es-ES_tradnl"/>
        </w:rPr>
        <w:t>oyera</w:t>
      </w:r>
      <w:r w:rsidRPr="004E3DDA">
        <w:rPr>
          <w:rFonts w:asciiTheme="minorHAnsi" w:hAnsiTheme="minorHAnsi" w:cstheme="minorHAnsi"/>
          <w:sz w:val="28"/>
          <w:szCs w:val="28"/>
          <w:lang w:val="es-ES_tradnl"/>
        </w:rPr>
        <w:t xml:space="preserve"> en 45 años.</w:t>
      </w:r>
    </w:p>
    <w:p w14:paraId="20AD2598" w14:textId="4A46BD4C" w:rsidR="00000000" w:rsidRDefault="00B91E18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</w:p>
    <w:p w14:paraId="16D8F583" w14:textId="77777777" w:rsidR="00425684" w:rsidRPr="004E3DDA" w:rsidRDefault="00425684">
      <w:pPr>
        <w:pStyle w:val="Arial11"/>
        <w:rPr>
          <w:rFonts w:asciiTheme="minorHAnsi" w:hAnsiTheme="minorHAnsi" w:cstheme="minorHAnsi"/>
          <w:sz w:val="28"/>
          <w:szCs w:val="28"/>
          <w:lang w:val="es-ES_tradnl"/>
        </w:rPr>
      </w:pPr>
    </w:p>
    <w:p w14:paraId="2D87ECE5" w14:textId="0401BD26" w:rsidR="00000000" w:rsidRPr="00425684" w:rsidRDefault="00425684">
      <w:pPr>
        <w:pStyle w:val="Arial11"/>
        <w:jc w:val="center"/>
        <w:rPr>
          <w:rFonts w:asciiTheme="minorHAnsi" w:hAnsiTheme="minorHAnsi" w:cstheme="minorHAnsi"/>
          <w:color w:val="000000" w:themeColor="text1"/>
          <w:sz w:val="28"/>
          <w:szCs w:val="28"/>
          <w:lang w:val="es-ES_tradnl"/>
        </w:rPr>
      </w:pPr>
      <w:hyperlink r:id="rId9" w:history="1">
        <w:r w:rsidRPr="00425684">
          <w:rPr>
            <w:rStyle w:val="Hyperlink"/>
            <w:rFonts w:asciiTheme="minorHAnsi" w:hAnsiTheme="minorHAnsi" w:cstheme="minorHAnsi"/>
            <w:color w:val="000000" w:themeColor="text1"/>
            <w:sz w:val="28"/>
            <w:szCs w:val="28"/>
            <w:u w:val="none"/>
            <w:lang w:val="es-ES_tradnl"/>
          </w:rPr>
          <w:t>www.libros1888.com</w:t>
        </w:r>
      </w:hyperlink>
    </w:p>
    <w:p w14:paraId="2C5A8831" w14:textId="77777777" w:rsidR="00425684" w:rsidRPr="004E3DDA" w:rsidRDefault="00425684">
      <w:pPr>
        <w:pStyle w:val="Arial11"/>
        <w:jc w:val="center"/>
        <w:rPr>
          <w:rFonts w:asciiTheme="minorHAnsi" w:hAnsiTheme="minorHAnsi" w:cstheme="minorHAnsi"/>
          <w:sz w:val="28"/>
          <w:szCs w:val="28"/>
          <w:lang w:val="es-ES_tradnl"/>
        </w:rPr>
      </w:pPr>
    </w:p>
    <w:p w14:paraId="5297DB44" w14:textId="77777777" w:rsidR="00000000" w:rsidRPr="004E3DDA" w:rsidRDefault="00B91E18">
      <w:pPr>
        <w:pStyle w:val="Arial11"/>
        <w:rPr>
          <w:rFonts w:asciiTheme="minorHAnsi" w:hAnsiTheme="minorHAnsi" w:cstheme="minorHAnsi"/>
          <w:sz w:val="28"/>
          <w:szCs w:val="28"/>
        </w:rPr>
      </w:pPr>
    </w:p>
    <w:sectPr w:rsidR="00000000" w:rsidRPr="004E3DDA" w:rsidSect="004E3DDA">
      <w:footerReference w:type="even" r:id="rId10"/>
      <w:footerReference w:type="default" r:id="rId11"/>
      <w:pgSz w:w="11906" w:h="16838"/>
      <w:pgMar w:top="1417" w:right="1701" w:bottom="1417" w:left="1701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AB6010" w14:textId="77777777" w:rsidR="00B91E18" w:rsidRDefault="00B91E18">
      <w:r>
        <w:separator/>
      </w:r>
    </w:p>
  </w:endnote>
  <w:endnote w:type="continuationSeparator" w:id="0">
    <w:p w14:paraId="30B7AF84" w14:textId="77777777" w:rsidR="00B91E18" w:rsidRDefault="00B91E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027CF2" w14:textId="77777777" w:rsidR="00000000" w:rsidRDefault="00B91E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7800F27" w14:textId="77777777" w:rsidR="00000000" w:rsidRDefault="00B91E1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8A2FB3A" w14:textId="77777777" w:rsidR="00000000" w:rsidRDefault="00B91E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3F8C9C63" w14:textId="77777777" w:rsidR="00000000" w:rsidRDefault="00B91E1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E6FE7" w14:textId="77777777" w:rsidR="00B91E18" w:rsidRDefault="00B91E18">
      <w:r>
        <w:separator/>
      </w:r>
    </w:p>
  </w:footnote>
  <w:footnote w:type="continuationSeparator" w:id="0">
    <w:p w14:paraId="57B68439" w14:textId="77777777" w:rsidR="00B91E18" w:rsidRDefault="00B91E1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92MXQAmXssOFrYZFZlFuIEJdlsrwn19b7L+DHuAv1WA63Z6xE+aLNJtLVtKDDtH62vJUQdsL/XUzxKS6+l+L6A==" w:salt="qCY68jUgHwQwGbUYoCtQhw==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4E17"/>
    <w:rsid w:val="00253B89"/>
    <w:rsid w:val="00300793"/>
    <w:rsid w:val="00425684"/>
    <w:rsid w:val="004357C6"/>
    <w:rsid w:val="004E3DDA"/>
    <w:rsid w:val="00544934"/>
    <w:rsid w:val="00911FC8"/>
    <w:rsid w:val="00A27FF1"/>
    <w:rsid w:val="00B91E18"/>
    <w:rsid w:val="00D3289E"/>
    <w:rsid w:val="00D77E10"/>
    <w:rsid w:val="00E14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195D88"/>
  <w15:chartTrackingRefBased/>
  <w15:docId w15:val="{57E3F35B-CAF4-4ED0-A849-2A9691D8F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ro">
    <w:name w:val="Libro"/>
    <w:basedOn w:val="Normal"/>
    <w:pPr>
      <w:overflowPunct w:val="0"/>
      <w:autoSpaceDE w:val="0"/>
      <w:autoSpaceDN w:val="0"/>
      <w:adjustRightInd w:val="0"/>
      <w:spacing w:before="60" w:after="60"/>
      <w:ind w:firstLine="227"/>
      <w:jc w:val="both"/>
      <w:textAlignment w:val="baseline"/>
    </w:pPr>
    <w:rPr>
      <w:sz w:val="20"/>
      <w:szCs w:val="20"/>
      <w:lang w:val="es-ES_tradnl"/>
    </w:rPr>
  </w:style>
  <w:style w:type="paragraph" w:customStyle="1" w:styleId="Texto">
    <w:name w:val="Texto"/>
    <w:basedOn w:val="Libro"/>
    <w:pPr>
      <w:spacing w:before="40" w:after="200"/>
      <w:ind w:left="227" w:right="227" w:firstLine="0"/>
    </w:pPr>
  </w:style>
  <w:style w:type="paragraph" w:customStyle="1" w:styleId="EGW">
    <w:name w:val="EGW"/>
    <w:basedOn w:val="Libro"/>
    <w:autoRedefine/>
    <w:rPr>
      <w:rFonts w:ascii="Arial" w:hAnsi="Arial" w:cs="Arial"/>
      <w:color w:val="008080"/>
    </w:rPr>
  </w:style>
  <w:style w:type="paragraph" w:customStyle="1" w:styleId="Libro12">
    <w:name w:val="Libro12"/>
    <w:basedOn w:val="Libro"/>
    <w:autoRedefine/>
    <w:rPr>
      <w:sz w:val="24"/>
    </w:rPr>
  </w:style>
  <w:style w:type="paragraph" w:customStyle="1" w:styleId="Arial11">
    <w:name w:val="Arial11"/>
    <w:basedOn w:val="Normal"/>
    <w:pPr>
      <w:spacing w:before="60" w:after="120"/>
      <w:jc w:val="both"/>
    </w:pPr>
    <w:rPr>
      <w:rFonts w:ascii="Arial" w:hAnsi="Arial"/>
      <w:sz w:val="22"/>
    </w:rPr>
  </w:style>
  <w:style w:type="paragraph" w:styleId="Footer">
    <w:name w:val="footer"/>
    <w:basedOn w:val="Normal"/>
    <w:semiHidden/>
    <w:pPr>
      <w:tabs>
        <w:tab w:val="center" w:pos="4252"/>
        <w:tab w:val="right" w:pos="8504"/>
      </w:tabs>
    </w:pPr>
  </w:style>
  <w:style w:type="character" w:styleId="PageNumber">
    <w:name w:val="page number"/>
    <w:basedOn w:val="DefaultParagraphFont"/>
    <w:semiHidden/>
  </w:style>
  <w:style w:type="character" w:styleId="Hyperlink">
    <w:name w:val="Hyperlink"/>
    <w:basedOn w:val="DefaultParagraphFont"/>
    <w:uiPriority w:val="99"/>
    <w:unhideWhenUsed/>
    <w:rsid w:val="0042568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256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bros1888.com/atj1893.htm" TargetMode="Externa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://www.libros1888.com/Pdfs/romanos.pdf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libros1888.com/Pdfs/justicia.pdf" TargetMode="External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yperlink" Target="http://www.libros1888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562</Words>
  <Characters>3095</Characters>
  <Application>Microsoft Office Word</Application>
  <DocSecurity>8</DocSecurity>
  <Lines>25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Preguntas</vt:lpstr>
      <vt:lpstr>¿Debía Cristo "ser hecho semejante en todo a los hermanos" (*), o a los "hermanos santos"</vt:lpstr>
    </vt:vector>
  </TitlesOfParts>
  <Company>LB</Company>
  <LinksUpToDate>false</LinksUpToDate>
  <CharactersWithSpaces>3650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Preguntas</dc:title>
  <dc:subject/>
  <dc:creator>R.J. Wieland</dc:creator>
  <cp:keywords/>
  <dc:description/>
  <cp:lastModifiedBy>Luis Bueno Boix</cp:lastModifiedBy>
  <cp:revision>11</cp:revision>
  <cp:lastPrinted>2020-06-13T14:17:00Z</cp:lastPrinted>
  <dcterms:created xsi:type="dcterms:W3CDTF">2020-06-13T13:55:00Z</dcterms:created>
  <dcterms:modified xsi:type="dcterms:W3CDTF">2020-06-13T14:18:00Z</dcterms:modified>
</cp:coreProperties>
</file>